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بسم‌الله الرحمن الرحیم</w:t>
      </w:r>
    </w:p>
    <w:p w:rsidR="00424302" w:rsidRPr="009A6B7D" w:rsidRDefault="00424302" w:rsidP="00424302">
      <w:pPr>
        <w:bidi/>
        <w:jc w:val="both"/>
        <w:rPr>
          <w:rFonts w:ascii="IRBadr" w:hAnsi="IRBadr" w:cs="IRBadr"/>
          <w:sz w:val="28"/>
          <w:szCs w:val="28"/>
          <w:rtl/>
          <w:lang w:bidi="fa-IR"/>
        </w:rPr>
      </w:pPr>
      <w:r w:rsidRPr="009A6B7D">
        <w:rPr>
          <w:rFonts w:ascii="IRBadr" w:hAnsi="IRBadr" w:cs="IRBadr"/>
          <w:sz w:val="28"/>
          <w:szCs w:val="28"/>
          <w:rtl/>
          <w:lang w:bidi="fa-IR"/>
        </w:rPr>
        <w:t>فهرست مطالب:</w:t>
      </w:r>
    </w:p>
    <w:p w:rsidR="00424302" w:rsidRPr="009A6B7D" w:rsidRDefault="00424302" w:rsidP="00424302">
      <w:pPr>
        <w:pStyle w:val="TOC1"/>
        <w:tabs>
          <w:tab w:val="right" w:leader="dot" w:pos="9350"/>
        </w:tabs>
        <w:rPr>
          <w:rFonts w:ascii="IRBadr" w:hAnsi="IRBadr" w:cs="IRBadr"/>
          <w:noProof/>
          <w:szCs w:val="22"/>
        </w:rPr>
      </w:pPr>
      <w:r w:rsidRPr="009A6B7D">
        <w:rPr>
          <w:rFonts w:ascii="IRBadr" w:hAnsi="IRBadr" w:cs="IRBadr"/>
          <w:sz w:val="28"/>
          <w:rtl/>
        </w:rPr>
        <w:fldChar w:fldCharType="begin"/>
      </w:r>
      <w:r w:rsidRPr="009A6B7D">
        <w:rPr>
          <w:rFonts w:ascii="IRBadr" w:hAnsi="IRBadr" w:cs="IRBadr"/>
          <w:sz w:val="28"/>
          <w:rtl/>
        </w:rPr>
        <w:instrText xml:space="preserve"> </w:instrText>
      </w:r>
      <w:r w:rsidRPr="009A6B7D">
        <w:rPr>
          <w:rFonts w:ascii="IRBadr" w:hAnsi="IRBadr" w:cs="IRBadr"/>
          <w:sz w:val="28"/>
        </w:rPr>
        <w:instrText>TOC</w:instrText>
      </w:r>
      <w:r w:rsidRPr="009A6B7D">
        <w:rPr>
          <w:rFonts w:ascii="IRBadr" w:hAnsi="IRBadr" w:cs="IRBadr"/>
          <w:sz w:val="28"/>
          <w:rtl/>
        </w:rPr>
        <w:instrText xml:space="preserve"> \</w:instrText>
      </w:r>
      <w:r w:rsidRPr="009A6B7D">
        <w:rPr>
          <w:rFonts w:ascii="IRBadr" w:hAnsi="IRBadr" w:cs="IRBadr"/>
          <w:sz w:val="28"/>
        </w:rPr>
        <w:instrText>o "</w:instrText>
      </w:r>
      <w:r w:rsidRPr="009A6B7D">
        <w:rPr>
          <w:rFonts w:ascii="IRBadr" w:hAnsi="IRBadr" w:cs="IRBadr"/>
          <w:sz w:val="28"/>
          <w:rtl/>
        </w:rPr>
        <w:instrText>1-4</w:instrText>
      </w:r>
      <w:r w:rsidRPr="009A6B7D">
        <w:rPr>
          <w:rFonts w:ascii="IRBadr" w:hAnsi="IRBadr" w:cs="IRBadr"/>
          <w:sz w:val="28"/>
        </w:rPr>
        <w:instrText>" \h \z \u</w:instrText>
      </w:r>
      <w:r w:rsidRPr="009A6B7D">
        <w:rPr>
          <w:rFonts w:ascii="IRBadr" w:hAnsi="IRBadr" w:cs="IRBadr"/>
          <w:sz w:val="28"/>
          <w:rtl/>
        </w:rPr>
        <w:instrText xml:space="preserve"> </w:instrText>
      </w:r>
      <w:r w:rsidRPr="009A6B7D">
        <w:rPr>
          <w:rFonts w:ascii="IRBadr" w:hAnsi="IRBadr" w:cs="IRBadr"/>
          <w:sz w:val="28"/>
          <w:rtl/>
        </w:rPr>
        <w:fldChar w:fldCharType="separate"/>
      </w:r>
      <w:hyperlink w:anchor="_Toc427996026" w:history="1">
        <w:r w:rsidRPr="009A6B7D">
          <w:rPr>
            <w:rStyle w:val="Hyperlink"/>
            <w:rFonts w:ascii="IRBadr" w:hAnsi="IRBadr" w:cs="IRBadr"/>
            <w:noProof/>
            <w:rtl/>
          </w:rPr>
          <w:t>آیه نفی اکراه</w:t>
        </w:r>
        <w:r w:rsidRPr="009A6B7D">
          <w:rPr>
            <w:rFonts w:ascii="IRBadr" w:hAnsi="IRBadr" w:cs="IRBadr"/>
            <w:noProof/>
            <w:webHidden/>
          </w:rPr>
          <w:tab/>
        </w:r>
        <w:r w:rsidRPr="009A6B7D">
          <w:rPr>
            <w:rStyle w:val="Hyperlink"/>
            <w:rFonts w:ascii="IRBadr" w:hAnsi="IRBadr" w:cs="IRBadr"/>
            <w:noProof/>
            <w:rtl/>
          </w:rPr>
          <w:fldChar w:fldCharType="begin"/>
        </w:r>
        <w:r w:rsidRPr="009A6B7D">
          <w:rPr>
            <w:rFonts w:ascii="IRBadr" w:hAnsi="IRBadr" w:cs="IRBadr"/>
            <w:noProof/>
            <w:webHidden/>
          </w:rPr>
          <w:instrText xml:space="preserve"> PAGEREF _Toc427996026 \h </w:instrText>
        </w:r>
        <w:r w:rsidRPr="009A6B7D">
          <w:rPr>
            <w:rStyle w:val="Hyperlink"/>
            <w:rFonts w:ascii="IRBadr" w:hAnsi="IRBadr" w:cs="IRBadr"/>
            <w:noProof/>
            <w:rtl/>
          </w:rPr>
        </w:r>
        <w:r w:rsidRPr="009A6B7D">
          <w:rPr>
            <w:rStyle w:val="Hyperlink"/>
            <w:rFonts w:ascii="IRBadr" w:hAnsi="IRBadr" w:cs="IRBadr"/>
            <w:noProof/>
            <w:rtl/>
          </w:rPr>
          <w:fldChar w:fldCharType="separate"/>
        </w:r>
        <w:r w:rsidRPr="009A6B7D">
          <w:rPr>
            <w:rFonts w:ascii="IRBadr" w:hAnsi="IRBadr" w:cs="IRBadr"/>
            <w:noProof/>
            <w:webHidden/>
          </w:rPr>
          <w:t>1</w:t>
        </w:r>
        <w:r w:rsidRPr="009A6B7D">
          <w:rPr>
            <w:rStyle w:val="Hyperlink"/>
            <w:rFonts w:ascii="IRBadr" w:hAnsi="IRBadr" w:cs="IRBadr"/>
            <w:noProof/>
            <w:rtl/>
          </w:rPr>
          <w:fldChar w:fldCharType="end"/>
        </w:r>
      </w:hyperlink>
    </w:p>
    <w:p w:rsidR="00424302" w:rsidRPr="009A6B7D" w:rsidRDefault="00277CA8" w:rsidP="00424302">
      <w:pPr>
        <w:pStyle w:val="TOC1"/>
        <w:tabs>
          <w:tab w:val="right" w:leader="dot" w:pos="9350"/>
        </w:tabs>
        <w:rPr>
          <w:rFonts w:ascii="IRBadr" w:hAnsi="IRBadr" w:cs="IRBadr"/>
          <w:noProof/>
          <w:szCs w:val="22"/>
        </w:rPr>
      </w:pPr>
      <w:hyperlink w:anchor="_Toc427996027" w:history="1">
        <w:r w:rsidR="00424302" w:rsidRPr="009A6B7D">
          <w:rPr>
            <w:rStyle w:val="Hyperlink"/>
            <w:rFonts w:ascii="IRBadr" w:hAnsi="IRBadr" w:cs="IRBadr"/>
            <w:noProof/>
            <w:rtl/>
          </w:rPr>
          <w:t>مناقشه در احتمال فوق</w:t>
        </w:r>
        <w:r w:rsidR="00424302" w:rsidRPr="009A6B7D">
          <w:rPr>
            <w:rFonts w:ascii="IRBadr" w:hAnsi="IRBadr" w:cs="IRBadr"/>
            <w:noProof/>
            <w:webHidden/>
          </w:rPr>
          <w:tab/>
        </w:r>
        <w:r w:rsidR="00424302" w:rsidRPr="009A6B7D">
          <w:rPr>
            <w:rStyle w:val="Hyperlink"/>
            <w:rFonts w:ascii="IRBadr" w:hAnsi="IRBadr" w:cs="IRBadr"/>
            <w:noProof/>
            <w:rtl/>
          </w:rPr>
          <w:fldChar w:fldCharType="begin"/>
        </w:r>
        <w:r w:rsidR="00424302" w:rsidRPr="009A6B7D">
          <w:rPr>
            <w:rFonts w:ascii="IRBadr" w:hAnsi="IRBadr" w:cs="IRBadr"/>
            <w:noProof/>
            <w:webHidden/>
          </w:rPr>
          <w:instrText xml:space="preserve"> PAGEREF _Toc427996027 \h </w:instrText>
        </w:r>
        <w:r w:rsidR="00424302" w:rsidRPr="009A6B7D">
          <w:rPr>
            <w:rStyle w:val="Hyperlink"/>
            <w:rFonts w:ascii="IRBadr" w:hAnsi="IRBadr" w:cs="IRBadr"/>
            <w:noProof/>
            <w:rtl/>
          </w:rPr>
        </w:r>
        <w:r w:rsidR="00424302" w:rsidRPr="009A6B7D">
          <w:rPr>
            <w:rStyle w:val="Hyperlink"/>
            <w:rFonts w:ascii="IRBadr" w:hAnsi="IRBadr" w:cs="IRBadr"/>
            <w:noProof/>
            <w:rtl/>
          </w:rPr>
          <w:fldChar w:fldCharType="separate"/>
        </w:r>
        <w:r w:rsidR="00424302" w:rsidRPr="009A6B7D">
          <w:rPr>
            <w:rFonts w:ascii="IRBadr" w:hAnsi="IRBadr" w:cs="IRBadr"/>
            <w:noProof/>
            <w:webHidden/>
          </w:rPr>
          <w:t>1</w:t>
        </w:r>
        <w:r w:rsidR="00424302" w:rsidRPr="009A6B7D">
          <w:rPr>
            <w:rStyle w:val="Hyperlink"/>
            <w:rFonts w:ascii="IRBadr" w:hAnsi="IRBadr" w:cs="IRBadr"/>
            <w:noProof/>
            <w:rtl/>
          </w:rPr>
          <w:fldChar w:fldCharType="end"/>
        </w:r>
      </w:hyperlink>
    </w:p>
    <w:p w:rsidR="00424302" w:rsidRPr="009A6B7D" w:rsidRDefault="00277CA8" w:rsidP="00424302">
      <w:pPr>
        <w:pStyle w:val="TOC1"/>
        <w:tabs>
          <w:tab w:val="right" w:leader="dot" w:pos="9350"/>
        </w:tabs>
        <w:rPr>
          <w:rFonts w:ascii="IRBadr" w:hAnsi="IRBadr" w:cs="IRBadr"/>
          <w:noProof/>
          <w:szCs w:val="22"/>
        </w:rPr>
      </w:pPr>
      <w:hyperlink w:anchor="_Toc427996028" w:history="1">
        <w:r w:rsidR="00424302" w:rsidRPr="009A6B7D">
          <w:rPr>
            <w:rStyle w:val="Hyperlink"/>
            <w:rFonts w:ascii="IRBadr" w:hAnsi="IRBadr" w:cs="IRBadr"/>
            <w:noProof/>
            <w:rtl/>
          </w:rPr>
          <w:t>دفع احتمال فقهی بودن آیه</w:t>
        </w:r>
        <w:r w:rsidR="00424302" w:rsidRPr="009A6B7D">
          <w:rPr>
            <w:rFonts w:ascii="IRBadr" w:hAnsi="IRBadr" w:cs="IRBadr"/>
            <w:noProof/>
            <w:webHidden/>
          </w:rPr>
          <w:tab/>
        </w:r>
        <w:r w:rsidR="00424302" w:rsidRPr="009A6B7D">
          <w:rPr>
            <w:rStyle w:val="Hyperlink"/>
            <w:rFonts w:ascii="IRBadr" w:hAnsi="IRBadr" w:cs="IRBadr"/>
            <w:noProof/>
            <w:rtl/>
          </w:rPr>
          <w:fldChar w:fldCharType="begin"/>
        </w:r>
        <w:r w:rsidR="00424302" w:rsidRPr="009A6B7D">
          <w:rPr>
            <w:rFonts w:ascii="IRBadr" w:hAnsi="IRBadr" w:cs="IRBadr"/>
            <w:noProof/>
            <w:webHidden/>
          </w:rPr>
          <w:instrText xml:space="preserve"> PAGEREF _Toc427996028 \h </w:instrText>
        </w:r>
        <w:r w:rsidR="00424302" w:rsidRPr="009A6B7D">
          <w:rPr>
            <w:rStyle w:val="Hyperlink"/>
            <w:rFonts w:ascii="IRBadr" w:hAnsi="IRBadr" w:cs="IRBadr"/>
            <w:noProof/>
            <w:rtl/>
          </w:rPr>
        </w:r>
        <w:r w:rsidR="00424302" w:rsidRPr="009A6B7D">
          <w:rPr>
            <w:rStyle w:val="Hyperlink"/>
            <w:rFonts w:ascii="IRBadr" w:hAnsi="IRBadr" w:cs="IRBadr"/>
            <w:noProof/>
            <w:rtl/>
          </w:rPr>
          <w:fldChar w:fldCharType="separate"/>
        </w:r>
        <w:r w:rsidR="00424302" w:rsidRPr="009A6B7D">
          <w:rPr>
            <w:rFonts w:ascii="IRBadr" w:hAnsi="IRBadr" w:cs="IRBadr"/>
            <w:noProof/>
            <w:webHidden/>
          </w:rPr>
          <w:t>2</w:t>
        </w:r>
        <w:r w:rsidR="00424302" w:rsidRPr="009A6B7D">
          <w:rPr>
            <w:rStyle w:val="Hyperlink"/>
            <w:rFonts w:ascii="IRBadr" w:hAnsi="IRBadr" w:cs="IRBadr"/>
            <w:noProof/>
            <w:rtl/>
          </w:rPr>
          <w:fldChar w:fldCharType="end"/>
        </w:r>
      </w:hyperlink>
    </w:p>
    <w:p w:rsidR="00424302" w:rsidRPr="009A6B7D" w:rsidRDefault="00277CA8" w:rsidP="00424302">
      <w:pPr>
        <w:pStyle w:val="TOC2"/>
        <w:tabs>
          <w:tab w:val="right" w:leader="dot" w:pos="9350"/>
        </w:tabs>
        <w:rPr>
          <w:rFonts w:ascii="IRBadr" w:hAnsi="IRBadr" w:cs="IRBadr"/>
          <w:noProof/>
          <w:szCs w:val="22"/>
        </w:rPr>
      </w:pPr>
      <w:hyperlink w:anchor="_Toc427996029" w:history="1">
        <w:r w:rsidR="00424302" w:rsidRPr="009A6B7D">
          <w:rPr>
            <w:rStyle w:val="Hyperlink"/>
            <w:rFonts w:ascii="IRBadr" w:hAnsi="IRBadr" w:cs="IRBadr"/>
            <w:noProof/>
            <w:rtl/>
          </w:rPr>
          <w:t>آیات در باب جهاد</w:t>
        </w:r>
        <w:r w:rsidR="00424302" w:rsidRPr="009A6B7D">
          <w:rPr>
            <w:rFonts w:ascii="IRBadr" w:hAnsi="IRBadr" w:cs="IRBadr"/>
            <w:noProof/>
            <w:webHidden/>
          </w:rPr>
          <w:tab/>
        </w:r>
        <w:r w:rsidR="00424302" w:rsidRPr="009A6B7D">
          <w:rPr>
            <w:rStyle w:val="Hyperlink"/>
            <w:rFonts w:ascii="IRBadr" w:hAnsi="IRBadr" w:cs="IRBadr"/>
            <w:noProof/>
            <w:rtl/>
          </w:rPr>
          <w:fldChar w:fldCharType="begin"/>
        </w:r>
        <w:r w:rsidR="00424302" w:rsidRPr="009A6B7D">
          <w:rPr>
            <w:rFonts w:ascii="IRBadr" w:hAnsi="IRBadr" w:cs="IRBadr"/>
            <w:noProof/>
            <w:webHidden/>
          </w:rPr>
          <w:instrText xml:space="preserve"> PAGEREF _Toc427996029 \h </w:instrText>
        </w:r>
        <w:r w:rsidR="00424302" w:rsidRPr="009A6B7D">
          <w:rPr>
            <w:rStyle w:val="Hyperlink"/>
            <w:rFonts w:ascii="IRBadr" w:hAnsi="IRBadr" w:cs="IRBadr"/>
            <w:noProof/>
            <w:rtl/>
          </w:rPr>
        </w:r>
        <w:r w:rsidR="00424302" w:rsidRPr="009A6B7D">
          <w:rPr>
            <w:rStyle w:val="Hyperlink"/>
            <w:rFonts w:ascii="IRBadr" w:hAnsi="IRBadr" w:cs="IRBadr"/>
            <w:noProof/>
            <w:rtl/>
          </w:rPr>
          <w:fldChar w:fldCharType="separate"/>
        </w:r>
        <w:r w:rsidR="00424302" w:rsidRPr="009A6B7D">
          <w:rPr>
            <w:rFonts w:ascii="IRBadr" w:hAnsi="IRBadr" w:cs="IRBadr"/>
            <w:noProof/>
            <w:webHidden/>
          </w:rPr>
          <w:t>2</w:t>
        </w:r>
        <w:r w:rsidR="00424302" w:rsidRPr="009A6B7D">
          <w:rPr>
            <w:rStyle w:val="Hyperlink"/>
            <w:rFonts w:ascii="IRBadr" w:hAnsi="IRBadr" w:cs="IRBadr"/>
            <w:noProof/>
            <w:rtl/>
          </w:rPr>
          <w:fldChar w:fldCharType="end"/>
        </w:r>
      </w:hyperlink>
    </w:p>
    <w:p w:rsidR="00424302" w:rsidRPr="009A6B7D" w:rsidRDefault="00277CA8" w:rsidP="00424302">
      <w:pPr>
        <w:pStyle w:val="TOC2"/>
        <w:tabs>
          <w:tab w:val="right" w:leader="dot" w:pos="9350"/>
        </w:tabs>
        <w:rPr>
          <w:rFonts w:ascii="IRBadr" w:hAnsi="IRBadr" w:cs="IRBadr"/>
          <w:noProof/>
          <w:szCs w:val="22"/>
        </w:rPr>
      </w:pPr>
      <w:hyperlink w:anchor="_Toc427996030" w:history="1">
        <w:r w:rsidR="00424302" w:rsidRPr="009A6B7D">
          <w:rPr>
            <w:rStyle w:val="Hyperlink"/>
            <w:rFonts w:ascii="IRBadr" w:hAnsi="IRBadr" w:cs="IRBadr"/>
            <w:noProof/>
            <w:rtl/>
          </w:rPr>
          <w:t>تنقیح بحث</w:t>
        </w:r>
        <w:r w:rsidR="00424302" w:rsidRPr="009A6B7D">
          <w:rPr>
            <w:rFonts w:ascii="IRBadr" w:hAnsi="IRBadr" w:cs="IRBadr"/>
            <w:noProof/>
            <w:webHidden/>
          </w:rPr>
          <w:tab/>
        </w:r>
        <w:r w:rsidR="00424302" w:rsidRPr="009A6B7D">
          <w:rPr>
            <w:rStyle w:val="Hyperlink"/>
            <w:rFonts w:ascii="IRBadr" w:hAnsi="IRBadr" w:cs="IRBadr"/>
            <w:noProof/>
            <w:rtl/>
          </w:rPr>
          <w:fldChar w:fldCharType="begin"/>
        </w:r>
        <w:r w:rsidR="00424302" w:rsidRPr="009A6B7D">
          <w:rPr>
            <w:rFonts w:ascii="IRBadr" w:hAnsi="IRBadr" w:cs="IRBadr"/>
            <w:noProof/>
            <w:webHidden/>
          </w:rPr>
          <w:instrText xml:space="preserve"> PAGEREF _Toc427996030 \h </w:instrText>
        </w:r>
        <w:r w:rsidR="00424302" w:rsidRPr="009A6B7D">
          <w:rPr>
            <w:rStyle w:val="Hyperlink"/>
            <w:rFonts w:ascii="IRBadr" w:hAnsi="IRBadr" w:cs="IRBadr"/>
            <w:noProof/>
            <w:rtl/>
          </w:rPr>
        </w:r>
        <w:r w:rsidR="00424302" w:rsidRPr="009A6B7D">
          <w:rPr>
            <w:rStyle w:val="Hyperlink"/>
            <w:rFonts w:ascii="IRBadr" w:hAnsi="IRBadr" w:cs="IRBadr"/>
            <w:noProof/>
            <w:rtl/>
          </w:rPr>
          <w:fldChar w:fldCharType="separate"/>
        </w:r>
        <w:r w:rsidR="00424302" w:rsidRPr="009A6B7D">
          <w:rPr>
            <w:rFonts w:ascii="IRBadr" w:hAnsi="IRBadr" w:cs="IRBadr"/>
            <w:noProof/>
            <w:webHidden/>
          </w:rPr>
          <w:t>3</w:t>
        </w:r>
        <w:r w:rsidR="00424302" w:rsidRPr="009A6B7D">
          <w:rPr>
            <w:rStyle w:val="Hyperlink"/>
            <w:rFonts w:ascii="IRBadr" w:hAnsi="IRBadr" w:cs="IRBadr"/>
            <w:noProof/>
            <w:rtl/>
          </w:rPr>
          <w:fldChar w:fldCharType="end"/>
        </w:r>
      </w:hyperlink>
    </w:p>
    <w:p w:rsidR="00424302" w:rsidRPr="009A6B7D" w:rsidRDefault="00277CA8" w:rsidP="00424302">
      <w:pPr>
        <w:pStyle w:val="TOC2"/>
        <w:tabs>
          <w:tab w:val="right" w:leader="dot" w:pos="9350"/>
        </w:tabs>
        <w:rPr>
          <w:rFonts w:ascii="IRBadr" w:hAnsi="IRBadr" w:cs="IRBadr"/>
          <w:noProof/>
          <w:szCs w:val="22"/>
        </w:rPr>
      </w:pPr>
      <w:hyperlink w:anchor="_Toc427996031" w:history="1">
        <w:r w:rsidR="00424302" w:rsidRPr="009A6B7D">
          <w:rPr>
            <w:rStyle w:val="Hyperlink"/>
            <w:rFonts w:ascii="IRBadr" w:hAnsi="IRBadr" w:cs="IRBadr"/>
            <w:noProof/>
            <w:rtl/>
          </w:rPr>
          <w:t>اتخاذ مبنا</w:t>
        </w:r>
        <w:r w:rsidR="00424302" w:rsidRPr="009A6B7D">
          <w:rPr>
            <w:rFonts w:ascii="IRBadr" w:hAnsi="IRBadr" w:cs="IRBadr"/>
            <w:noProof/>
            <w:webHidden/>
          </w:rPr>
          <w:tab/>
        </w:r>
        <w:r w:rsidR="00424302" w:rsidRPr="009A6B7D">
          <w:rPr>
            <w:rStyle w:val="Hyperlink"/>
            <w:rFonts w:ascii="IRBadr" w:hAnsi="IRBadr" w:cs="IRBadr"/>
            <w:noProof/>
            <w:rtl/>
          </w:rPr>
          <w:fldChar w:fldCharType="begin"/>
        </w:r>
        <w:r w:rsidR="00424302" w:rsidRPr="009A6B7D">
          <w:rPr>
            <w:rFonts w:ascii="IRBadr" w:hAnsi="IRBadr" w:cs="IRBadr"/>
            <w:noProof/>
            <w:webHidden/>
          </w:rPr>
          <w:instrText xml:space="preserve"> PAGEREF _Toc427996031 \h </w:instrText>
        </w:r>
        <w:r w:rsidR="00424302" w:rsidRPr="009A6B7D">
          <w:rPr>
            <w:rStyle w:val="Hyperlink"/>
            <w:rFonts w:ascii="IRBadr" w:hAnsi="IRBadr" w:cs="IRBadr"/>
            <w:noProof/>
            <w:rtl/>
          </w:rPr>
        </w:r>
        <w:r w:rsidR="00424302" w:rsidRPr="009A6B7D">
          <w:rPr>
            <w:rStyle w:val="Hyperlink"/>
            <w:rFonts w:ascii="IRBadr" w:hAnsi="IRBadr" w:cs="IRBadr"/>
            <w:noProof/>
            <w:rtl/>
          </w:rPr>
          <w:fldChar w:fldCharType="separate"/>
        </w:r>
        <w:r w:rsidR="00424302" w:rsidRPr="009A6B7D">
          <w:rPr>
            <w:rFonts w:ascii="IRBadr" w:hAnsi="IRBadr" w:cs="IRBadr"/>
            <w:noProof/>
            <w:webHidden/>
          </w:rPr>
          <w:t>3</w:t>
        </w:r>
        <w:r w:rsidR="00424302" w:rsidRPr="009A6B7D">
          <w:rPr>
            <w:rStyle w:val="Hyperlink"/>
            <w:rFonts w:ascii="IRBadr" w:hAnsi="IRBadr" w:cs="IRBadr"/>
            <w:noProof/>
            <w:rtl/>
          </w:rPr>
          <w:fldChar w:fldCharType="end"/>
        </w:r>
      </w:hyperlink>
    </w:p>
    <w:p w:rsidR="00424302" w:rsidRPr="009A6B7D" w:rsidRDefault="00277CA8" w:rsidP="00424302">
      <w:pPr>
        <w:pStyle w:val="TOC3"/>
        <w:tabs>
          <w:tab w:val="right" w:leader="dot" w:pos="9350"/>
        </w:tabs>
        <w:rPr>
          <w:rFonts w:ascii="IRBadr" w:eastAsiaTheme="minorEastAsia" w:hAnsi="IRBadr" w:cs="IRBadr"/>
          <w:noProof/>
          <w:szCs w:val="22"/>
        </w:rPr>
      </w:pPr>
      <w:hyperlink w:anchor="_Toc427996032" w:history="1">
        <w:r w:rsidR="00424302" w:rsidRPr="009A6B7D">
          <w:rPr>
            <w:rStyle w:val="Hyperlink"/>
            <w:rFonts w:ascii="IRBadr" w:hAnsi="IRBadr" w:cs="IRBadr"/>
            <w:noProof/>
            <w:rtl/>
          </w:rPr>
          <w:t>احتمال سوم</w:t>
        </w:r>
        <w:r w:rsidR="00424302" w:rsidRPr="009A6B7D">
          <w:rPr>
            <w:rFonts w:ascii="IRBadr" w:hAnsi="IRBadr" w:cs="IRBadr"/>
            <w:noProof/>
            <w:webHidden/>
          </w:rPr>
          <w:tab/>
        </w:r>
        <w:r w:rsidR="00424302" w:rsidRPr="009A6B7D">
          <w:rPr>
            <w:rStyle w:val="Hyperlink"/>
            <w:rFonts w:ascii="IRBadr" w:hAnsi="IRBadr" w:cs="IRBadr"/>
            <w:noProof/>
            <w:rtl/>
          </w:rPr>
          <w:fldChar w:fldCharType="begin"/>
        </w:r>
        <w:r w:rsidR="00424302" w:rsidRPr="009A6B7D">
          <w:rPr>
            <w:rFonts w:ascii="IRBadr" w:hAnsi="IRBadr" w:cs="IRBadr"/>
            <w:noProof/>
            <w:webHidden/>
          </w:rPr>
          <w:instrText xml:space="preserve"> PAGEREF _Toc427996032 \h </w:instrText>
        </w:r>
        <w:r w:rsidR="00424302" w:rsidRPr="009A6B7D">
          <w:rPr>
            <w:rStyle w:val="Hyperlink"/>
            <w:rFonts w:ascii="IRBadr" w:hAnsi="IRBadr" w:cs="IRBadr"/>
            <w:noProof/>
            <w:rtl/>
          </w:rPr>
        </w:r>
        <w:r w:rsidR="00424302" w:rsidRPr="009A6B7D">
          <w:rPr>
            <w:rStyle w:val="Hyperlink"/>
            <w:rFonts w:ascii="IRBadr" w:hAnsi="IRBadr" w:cs="IRBadr"/>
            <w:noProof/>
            <w:rtl/>
          </w:rPr>
          <w:fldChar w:fldCharType="separate"/>
        </w:r>
        <w:r w:rsidR="00424302" w:rsidRPr="009A6B7D">
          <w:rPr>
            <w:rFonts w:ascii="IRBadr" w:hAnsi="IRBadr" w:cs="IRBadr"/>
            <w:noProof/>
            <w:webHidden/>
          </w:rPr>
          <w:t>3</w:t>
        </w:r>
        <w:r w:rsidR="00424302" w:rsidRPr="009A6B7D">
          <w:rPr>
            <w:rStyle w:val="Hyperlink"/>
            <w:rFonts w:ascii="IRBadr" w:hAnsi="IRBadr" w:cs="IRBadr"/>
            <w:noProof/>
            <w:rtl/>
          </w:rPr>
          <w:fldChar w:fldCharType="end"/>
        </w:r>
      </w:hyperlink>
    </w:p>
    <w:p w:rsidR="00424302" w:rsidRPr="009A6B7D" w:rsidRDefault="00277CA8" w:rsidP="00424302">
      <w:pPr>
        <w:pStyle w:val="TOC3"/>
        <w:tabs>
          <w:tab w:val="right" w:leader="dot" w:pos="9350"/>
        </w:tabs>
        <w:rPr>
          <w:rFonts w:ascii="IRBadr" w:eastAsiaTheme="minorEastAsia" w:hAnsi="IRBadr" w:cs="IRBadr"/>
          <w:noProof/>
          <w:szCs w:val="22"/>
        </w:rPr>
      </w:pPr>
      <w:hyperlink w:anchor="_Toc427996033" w:history="1">
        <w:r w:rsidR="00424302" w:rsidRPr="009A6B7D">
          <w:rPr>
            <w:rStyle w:val="Hyperlink"/>
            <w:rFonts w:ascii="IRBadr" w:hAnsi="IRBadr" w:cs="IRBadr"/>
            <w:noProof/>
            <w:rtl/>
          </w:rPr>
          <w:t>اتخاذ مبنا</w:t>
        </w:r>
        <w:r w:rsidR="00424302" w:rsidRPr="009A6B7D">
          <w:rPr>
            <w:rFonts w:ascii="IRBadr" w:hAnsi="IRBadr" w:cs="IRBadr"/>
            <w:noProof/>
            <w:webHidden/>
          </w:rPr>
          <w:tab/>
        </w:r>
        <w:r w:rsidR="00424302" w:rsidRPr="009A6B7D">
          <w:rPr>
            <w:rStyle w:val="Hyperlink"/>
            <w:rFonts w:ascii="IRBadr" w:hAnsi="IRBadr" w:cs="IRBadr"/>
            <w:noProof/>
            <w:rtl/>
          </w:rPr>
          <w:fldChar w:fldCharType="begin"/>
        </w:r>
        <w:r w:rsidR="00424302" w:rsidRPr="009A6B7D">
          <w:rPr>
            <w:rFonts w:ascii="IRBadr" w:hAnsi="IRBadr" w:cs="IRBadr"/>
            <w:noProof/>
            <w:webHidden/>
          </w:rPr>
          <w:instrText xml:space="preserve"> PAGEREF _Toc427996033 \h </w:instrText>
        </w:r>
        <w:r w:rsidR="00424302" w:rsidRPr="009A6B7D">
          <w:rPr>
            <w:rStyle w:val="Hyperlink"/>
            <w:rFonts w:ascii="IRBadr" w:hAnsi="IRBadr" w:cs="IRBadr"/>
            <w:noProof/>
            <w:rtl/>
          </w:rPr>
        </w:r>
        <w:r w:rsidR="00424302" w:rsidRPr="009A6B7D">
          <w:rPr>
            <w:rStyle w:val="Hyperlink"/>
            <w:rFonts w:ascii="IRBadr" w:hAnsi="IRBadr" w:cs="IRBadr"/>
            <w:noProof/>
            <w:rtl/>
          </w:rPr>
          <w:fldChar w:fldCharType="separate"/>
        </w:r>
        <w:r w:rsidR="00424302" w:rsidRPr="009A6B7D">
          <w:rPr>
            <w:rFonts w:ascii="IRBadr" w:hAnsi="IRBadr" w:cs="IRBadr"/>
            <w:noProof/>
            <w:webHidden/>
          </w:rPr>
          <w:t>4</w:t>
        </w:r>
        <w:r w:rsidR="00424302" w:rsidRPr="009A6B7D">
          <w:rPr>
            <w:rStyle w:val="Hyperlink"/>
            <w:rFonts w:ascii="IRBadr" w:hAnsi="IRBadr" w:cs="IRBadr"/>
            <w:noProof/>
            <w:rtl/>
          </w:rPr>
          <w:fldChar w:fldCharType="end"/>
        </w:r>
      </w:hyperlink>
    </w:p>
    <w:p w:rsidR="00424302" w:rsidRPr="009A6B7D" w:rsidRDefault="00424302" w:rsidP="00424302">
      <w:pPr>
        <w:bidi/>
        <w:jc w:val="both"/>
        <w:rPr>
          <w:rFonts w:ascii="IRBadr" w:hAnsi="IRBadr" w:cs="IRBadr"/>
          <w:sz w:val="28"/>
          <w:szCs w:val="28"/>
          <w:rtl/>
          <w:lang w:bidi="fa-IR"/>
        </w:rPr>
      </w:pPr>
      <w:r w:rsidRPr="009A6B7D">
        <w:rPr>
          <w:rFonts w:ascii="IRBadr" w:hAnsi="IRBadr" w:cs="IRBadr"/>
          <w:sz w:val="28"/>
          <w:szCs w:val="28"/>
          <w:rtl/>
          <w:lang w:bidi="fa-IR"/>
        </w:rPr>
        <w:fldChar w:fldCharType="end"/>
      </w:r>
    </w:p>
    <w:p w:rsidR="009A6B7D" w:rsidRDefault="009A6B7D">
      <w:pPr>
        <w:spacing w:after="0" w:line="240" w:lineRule="auto"/>
        <w:rPr>
          <w:rFonts w:ascii="IRBadr" w:eastAsia="2  Lotus" w:hAnsi="IRBadr" w:cs="IRBadr"/>
          <w:bCs/>
          <w:sz w:val="28"/>
          <w:szCs w:val="44"/>
          <w:rtl/>
          <w:lang w:bidi="fa-IR"/>
        </w:rPr>
      </w:pPr>
      <w:bookmarkStart w:id="0" w:name="_Toc427996026"/>
      <w:r>
        <w:rPr>
          <w:rFonts w:ascii="IRBadr" w:hAnsi="IRBadr" w:cs="IRBadr"/>
          <w:rtl/>
        </w:rPr>
        <w:br w:type="page"/>
      </w:r>
    </w:p>
    <w:p w:rsidR="008D5110" w:rsidRPr="009A6B7D" w:rsidRDefault="008D5110" w:rsidP="008D5110">
      <w:pPr>
        <w:pStyle w:val="Heading1"/>
        <w:rPr>
          <w:rFonts w:ascii="IRBadr" w:hAnsi="IRBadr" w:cs="IRBadr"/>
          <w:rtl/>
        </w:rPr>
      </w:pPr>
      <w:r w:rsidRPr="009A6B7D">
        <w:rPr>
          <w:rFonts w:ascii="IRBadr" w:hAnsi="IRBadr" w:cs="IRBadr"/>
          <w:rtl/>
        </w:rPr>
        <w:lastRenderedPageBreak/>
        <w:t>آیه نفی اکراه</w:t>
      </w:r>
      <w:bookmarkEnd w:id="0"/>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احتمال دیگری که می‌توان در قبال آیه مطرح نمود این است که؛ آیه می‌گوید در حقیقت به خاطر رشد از غی نیازی به‌اکراه در دین نیست نه اینکه از باب امر باشد که اکراه نکنید. یعنی معتقدات دینی چنان واضح است که نیازی به‌اکراه ندارد.</w:t>
      </w:r>
    </w:p>
    <w:p w:rsidR="008D5110" w:rsidRPr="009A6B7D" w:rsidRDefault="008D5110" w:rsidP="008D5110">
      <w:pPr>
        <w:pStyle w:val="Heading1"/>
        <w:rPr>
          <w:rFonts w:ascii="IRBadr" w:hAnsi="IRBadr" w:cs="IRBadr"/>
          <w:rtl/>
        </w:rPr>
      </w:pPr>
      <w:bookmarkStart w:id="1" w:name="_Toc427996027"/>
      <w:r w:rsidRPr="009A6B7D">
        <w:rPr>
          <w:rFonts w:ascii="IRBadr" w:hAnsi="IRBadr" w:cs="IRBadr"/>
          <w:rtl/>
        </w:rPr>
        <w:t>مناقشه در احتمال فوق</w:t>
      </w:r>
      <w:bookmarkEnd w:id="1"/>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 xml:space="preserve">البته در این احتمال جای چند مناقشه وجود دارد که اولاً شأن نزول‌های واردشده در قبال این آیه ظهور در حالت الزامی دارد که آن‌ها می‌خواستند بازور آن فرزندان را نگه‌دارند که حضرت فرمودند آن‌ها را رها کنید. علاوه بر اینکه </w:t>
      </w:r>
      <w:r w:rsidR="007810FA">
        <w:rPr>
          <w:rFonts w:ascii="IRBadr" w:hAnsi="IRBadr" w:cs="IRBadr"/>
          <w:sz w:val="28"/>
          <w:szCs w:val="28"/>
          <w:rtl/>
          <w:lang w:bidi="fa-IR"/>
        </w:rPr>
        <w:t>بنا بر</w:t>
      </w:r>
      <w:r w:rsidRPr="009A6B7D">
        <w:rPr>
          <w:rFonts w:ascii="IRBadr" w:hAnsi="IRBadr" w:cs="IRBadr"/>
          <w:sz w:val="28"/>
          <w:szCs w:val="28"/>
          <w:rtl/>
          <w:lang w:bidi="fa-IR"/>
        </w:rPr>
        <w:t xml:space="preserve"> احتمال شما لازم است قیودی به آیه اضافه شود. چراکه وقتی شما چنین معنایی را برای آیه قرار می‌دهید که برای افراد متعارف و سالم نیازی به‌اکراه نیست این قیود نیازمند مؤونه در قبال آیه است و خود امری خلاف ظاهر به‌حساب می‌آید.</w:t>
      </w:r>
    </w:p>
    <w:p w:rsidR="008D5110" w:rsidRPr="009A6B7D" w:rsidRDefault="008D5110" w:rsidP="008D5110">
      <w:pPr>
        <w:pStyle w:val="Heading1"/>
        <w:rPr>
          <w:rFonts w:ascii="IRBadr" w:hAnsi="IRBadr" w:cs="IRBadr"/>
          <w:rtl/>
        </w:rPr>
      </w:pPr>
      <w:bookmarkStart w:id="2" w:name="_Toc427996028"/>
      <w:r w:rsidRPr="009A6B7D">
        <w:rPr>
          <w:rFonts w:ascii="IRBadr" w:hAnsi="IRBadr" w:cs="IRBadr"/>
          <w:rtl/>
        </w:rPr>
        <w:t>دفع احتمال فقهی بودن آیه</w:t>
      </w:r>
      <w:bookmarkEnd w:id="2"/>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اگر کسی در مورد آیه این تلقی را داشته باشد که آیه درصدد بیان حکمی فقهی است که نباید بر دین اکراه روا دارید، تکلیف آیاتی که در سوره برائت همانند؛</w:t>
      </w:r>
    </w:p>
    <w:p w:rsidR="008D5110" w:rsidRPr="009A6B7D" w:rsidRDefault="008D5110" w:rsidP="008D5110">
      <w:pPr>
        <w:bidi/>
        <w:jc w:val="both"/>
        <w:rPr>
          <w:rFonts w:ascii="IRBadr" w:hAnsi="IRBadr" w:cs="IRBadr"/>
          <w:b/>
          <w:bCs/>
          <w:sz w:val="28"/>
          <w:szCs w:val="28"/>
          <w:highlight w:val="yellow"/>
          <w:lang w:bidi="fa-IR"/>
        </w:rPr>
      </w:pPr>
      <w:r w:rsidRPr="009A6B7D">
        <w:rPr>
          <w:rFonts w:ascii="IRBadr" w:hAnsi="IRBadr" w:cs="IRBadr"/>
          <w:b/>
          <w:bCs/>
          <w:sz w:val="28"/>
          <w:szCs w:val="28"/>
          <w:rtl/>
          <w:lang w:bidi="fa-IR"/>
        </w:rPr>
        <w:t>«قاتِلُوا الَّذِینَ لا یؤْمِنُونَ بِاللَّهِ وَ لا بِالْیوْمِ الْآخِرِ وَ لا یحَرِّمُونَ ما حَرَّمَ اللَّهُ وَ رَسُولُهُ وَ لا یدِینُونَ دِینَ الْحَقِّ مِنَ الَّذِینَ أُوتُوا الْکتابَ حَتَّی یعْطُوا الْجِزْیةَ عَنْ یدٍ وَ هُمْ صاغِرُون»</w:t>
      </w:r>
      <w:r w:rsidRPr="009A6B7D">
        <w:rPr>
          <w:rFonts w:ascii="IRBadr" w:hAnsi="IRBadr" w:cs="IRBadr"/>
          <w:b/>
          <w:bCs/>
          <w:sz w:val="28"/>
          <w:szCs w:val="28"/>
          <w:vertAlign w:val="superscript"/>
          <w:rtl/>
          <w:lang w:bidi="fa-IR"/>
        </w:rPr>
        <w:footnoteReference w:id="1"/>
      </w:r>
    </w:p>
    <w:p w:rsidR="008D5110" w:rsidRPr="009A6B7D" w:rsidRDefault="008D5110" w:rsidP="008D5110">
      <w:pPr>
        <w:bidi/>
        <w:jc w:val="both"/>
        <w:rPr>
          <w:rFonts w:ascii="IRBadr" w:hAnsi="IRBadr" w:cs="IRBadr"/>
          <w:b/>
          <w:bCs/>
          <w:sz w:val="28"/>
          <w:szCs w:val="28"/>
          <w:lang w:bidi="fa-IR"/>
        </w:rPr>
      </w:pPr>
      <w:r w:rsidRPr="009A6B7D">
        <w:rPr>
          <w:rFonts w:ascii="IRBadr" w:hAnsi="IRBadr" w:cs="IRBadr"/>
          <w:b/>
          <w:bCs/>
          <w:sz w:val="28"/>
          <w:szCs w:val="28"/>
          <w:rtl/>
          <w:lang w:bidi="fa-IR"/>
        </w:rPr>
        <w:t>«وَ أَعْرِضْ عَنِ الْمُشْرِکین»</w:t>
      </w:r>
      <w:r w:rsidRPr="009A6B7D">
        <w:rPr>
          <w:rFonts w:ascii="IRBadr" w:hAnsi="IRBadr" w:cs="IRBadr"/>
          <w:b/>
          <w:bCs/>
          <w:sz w:val="28"/>
          <w:szCs w:val="28"/>
          <w:vertAlign w:val="superscript"/>
          <w:rtl/>
          <w:lang w:bidi="fa-IR"/>
        </w:rPr>
        <w:footnoteReference w:id="2"/>
      </w:r>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 xml:space="preserve">نقل‌شده است چه می‌شود؟ چراکه از طرفی آیات متعدد درباره دعوت به جهاد وجود دارد و از طرفی نیز این آیه شریفه نفی اکراه می‌کند؟ تا جایی که آیات گروه اول امر به قتال ابتدایی </w:t>
      </w:r>
      <w:bookmarkStart w:id="3" w:name="_GoBack"/>
      <w:bookmarkEnd w:id="3"/>
      <w:r w:rsidRPr="009A6B7D">
        <w:rPr>
          <w:rFonts w:ascii="IRBadr" w:hAnsi="IRBadr" w:cs="IRBadr"/>
          <w:sz w:val="28"/>
          <w:szCs w:val="28"/>
          <w:rtl/>
          <w:lang w:bidi="fa-IR"/>
        </w:rPr>
        <w:t>می‌دهند همانند این آیه شریفه که؛</w:t>
      </w:r>
    </w:p>
    <w:p w:rsidR="008D5110" w:rsidRPr="009A6B7D" w:rsidRDefault="008D5110" w:rsidP="008D5110">
      <w:pPr>
        <w:bidi/>
        <w:jc w:val="both"/>
        <w:rPr>
          <w:rFonts w:ascii="IRBadr" w:hAnsi="IRBadr" w:cs="IRBadr"/>
          <w:b/>
          <w:bCs/>
          <w:sz w:val="28"/>
          <w:szCs w:val="28"/>
          <w:lang w:bidi="fa-IR"/>
        </w:rPr>
      </w:pPr>
      <w:r w:rsidRPr="009A6B7D">
        <w:rPr>
          <w:rFonts w:ascii="IRBadr" w:hAnsi="IRBadr" w:cs="IRBadr"/>
          <w:b/>
          <w:bCs/>
          <w:sz w:val="28"/>
          <w:szCs w:val="28"/>
          <w:rtl/>
          <w:lang w:bidi="fa-IR"/>
        </w:rPr>
        <w:lastRenderedPageBreak/>
        <w:t>«فَإِذَا انْسَلَخَ الْأَشْهُرُ الْحُرُمُ فَاقْتُلُوا الْمُشْرِکینَ حَیثُ وَجَدْتُمُوهُمْ وَ خُذُوهُمْ وَ احْصُرُوهُمْ وَ اقْعُدُوا لَهُمْ کلَّ مَرْصَدٍ فَإِنْ تابُوا وَ أَقامُوا الصَّلاةَ وَ آتَوُا الزَّکاةَ فَخَلُّوا سَبِیلَهُمْ إِنَّ اللَّهَ غَفُورٌ رَحِیم»</w:t>
      </w:r>
      <w:r w:rsidRPr="009A6B7D">
        <w:rPr>
          <w:rFonts w:ascii="IRBadr" w:hAnsi="IRBadr" w:cs="IRBadr"/>
          <w:b/>
          <w:bCs/>
          <w:sz w:val="28"/>
          <w:szCs w:val="28"/>
          <w:vertAlign w:val="superscript"/>
          <w:rtl/>
          <w:lang w:bidi="fa-IR"/>
        </w:rPr>
        <w:footnoteReference w:id="3"/>
      </w:r>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 xml:space="preserve"> این آیات جهاد ابتدایی است.</w:t>
      </w:r>
    </w:p>
    <w:p w:rsidR="008D5110" w:rsidRPr="009A6B7D" w:rsidRDefault="008D5110" w:rsidP="008D5110">
      <w:pPr>
        <w:pStyle w:val="Heading2"/>
        <w:rPr>
          <w:rFonts w:ascii="IRBadr" w:hAnsi="IRBadr" w:cs="IRBadr"/>
          <w:rtl/>
        </w:rPr>
      </w:pPr>
      <w:bookmarkStart w:id="4" w:name="_Toc427996029"/>
      <w:r w:rsidRPr="009A6B7D">
        <w:rPr>
          <w:rFonts w:ascii="IRBadr" w:hAnsi="IRBadr" w:cs="IRBadr"/>
          <w:rtl/>
        </w:rPr>
        <w:t>آیات در باب جهاد</w:t>
      </w:r>
      <w:bookmarkEnd w:id="4"/>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در باب جهاد آیات مختلفی وجود دارد، برخی از آن‌ها به موارد اخذ جزیه از اهل کتاب اشاره دارد که؛</w:t>
      </w:r>
    </w:p>
    <w:p w:rsidR="008D5110" w:rsidRPr="009A6B7D" w:rsidRDefault="008D5110" w:rsidP="008D5110">
      <w:pPr>
        <w:bidi/>
        <w:jc w:val="both"/>
        <w:rPr>
          <w:rFonts w:ascii="IRBadr" w:hAnsi="IRBadr" w:cs="IRBadr"/>
          <w:b/>
          <w:bCs/>
          <w:sz w:val="28"/>
          <w:szCs w:val="28"/>
          <w:highlight w:val="yellow"/>
          <w:lang w:bidi="fa-IR"/>
        </w:rPr>
      </w:pPr>
      <w:r w:rsidRPr="009A6B7D">
        <w:rPr>
          <w:rFonts w:ascii="IRBadr" w:hAnsi="IRBadr" w:cs="IRBadr"/>
          <w:b/>
          <w:bCs/>
          <w:sz w:val="28"/>
          <w:szCs w:val="28"/>
          <w:rtl/>
          <w:lang w:bidi="fa-IR"/>
        </w:rPr>
        <w:t>«مِنَ الَّذِینَ أُوتُوا الْکتابَ حَتَّی یعْطُوا الْجِزْیةَ عَنْ یدٍ وَ هُمْ صاغِرُون»</w:t>
      </w:r>
      <w:r w:rsidRPr="009A6B7D">
        <w:rPr>
          <w:rFonts w:ascii="IRBadr" w:hAnsi="IRBadr" w:cs="IRBadr"/>
          <w:b/>
          <w:bCs/>
          <w:sz w:val="28"/>
          <w:szCs w:val="28"/>
          <w:vertAlign w:val="superscript"/>
          <w:rtl/>
          <w:lang w:bidi="fa-IR"/>
        </w:rPr>
        <w:footnoteReference w:id="4"/>
      </w:r>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البته این حکم مربوط به اهل کتاب است و غیر اهل کتاب حکم متفاوتی دارند. برخی از آیات به بستن عهدنامه با آن‌ها اشاره دارند؛</w:t>
      </w:r>
    </w:p>
    <w:p w:rsidR="008D5110" w:rsidRPr="009A6B7D" w:rsidRDefault="008D5110" w:rsidP="008D5110">
      <w:pPr>
        <w:bidi/>
        <w:jc w:val="both"/>
        <w:rPr>
          <w:rFonts w:ascii="IRBadr" w:hAnsi="IRBadr" w:cs="IRBadr"/>
          <w:b/>
          <w:bCs/>
          <w:sz w:val="28"/>
          <w:szCs w:val="28"/>
          <w:lang w:bidi="fa-IR"/>
        </w:rPr>
      </w:pPr>
      <w:r w:rsidRPr="009A6B7D">
        <w:rPr>
          <w:rFonts w:ascii="IRBadr" w:hAnsi="IRBadr" w:cs="IRBadr"/>
          <w:b/>
          <w:bCs/>
          <w:sz w:val="28"/>
          <w:szCs w:val="28"/>
          <w:rtl/>
          <w:lang w:bidi="fa-IR"/>
        </w:rPr>
        <w:t>«إِلَّا الَّذِینَ عاهَدْتُمْ مِنَ الْمُشْرِکینَ، ثُمَّ لَمْ ینْقُصُوکمْ شَیئاً وَ لَمْ یظاهِرُوا عَلَیکمْ أَحَداً فَأَتِمُّوا إِلَیهِمْ عَهْدَهُمْ إِلی مُدَّتِهِمْ إِنَّ اللَّهَ یحِبُّ الْمُتَّقِین»</w:t>
      </w:r>
      <w:r w:rsidRPr="009A6B7D">
        <w:rPr>
          <w:rFonts w:ascii="IRBadr" w:hAnsi="IRBadr" w:cs="IRBadr"/>
          <w:b/>
          <w:bCs/>
          <w:sz w:val="28"/>
          <w:szCs w:val="28"/>
          <w:vertAlign w:val="superscript"/>
          <w:rtl/>
          <w:lang w:bidi="fa-IR"/>
        </w:rPr>
        <w:footnoteReference w:id="5"/>
      </w:r>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برخی از آیات دیگر نیز اشاره به‌حکم امان دادن آن‌ها دارد؛</w:t>
      </w:r>
    </w:p>
    <w:p w:rsidR="008D5110" w:rsidRPr="009A6B7D" w:rsidRDefault="008D5110" w:rsidP="008D5110">
      <w:pPr>
        <w:bidi/>
        <w:jc w:val="both"/>
        <w:rPr>
          <w:rFonts w:ascii="IRBadr" w:hAnsi="IRBadr" w:cs="IRBadr"/>
          <w:b/>
          <w:bCs/>
          <w:sz w:val="28"/>
          <w:szCs w:val="28"/>
          <w:rtl/>
          <w:lang w:bidi="fa-IR"/>
        </w:rPr>
      </w:pPr>
      <w:r w:rsidRPr="009A6B7D">
        <w:rPr>
          <w:rFonts w:ascii="IRBadr" w:hAnsi="IRBadr" w:cs="IRBadr"/>
          <w:b/>
          <w:bCs/>
          <w:sz w:val="28"/>
          <w:szCs w:val="28"/>
          <w:rtl/>
          <w:lang w:bidi="fa-IR"/>
        </w:rPr>
        <w:t>«وَ إِنْ أَحَدٌ مِنَ الْمُشْرِکینَ اسْتَجارَک فَأَجِرْهُ حَتَّی یسْمَعَ کلامَ اللَّهِ ثُمَّ أَبْلِغْهُ مَأْمَنَهُ ذلِک بِأَنَّهُمْ قَوْمٌ لا یعْلَمُون»</w:t>
      </w:r>
      <w:r w:rsidRPr="009A6B7D">
        <w:rPr>
          <w:rFonts w:ascii="IRBadr" w:hAnsi="IRBadr" w:cs="IRBadr"/>
          <w:b/>
          <w:bCs/>
          <w:sz w:val="28"/>
          <w:szCs w:val="28"/>
          <w:vertAlign w:val="superscript"/>
          <w:rtl/>
          <w:lang w:bidi="fa-IR"/>
        </w:rPr>
        <w:footnoteReference w:id="6"/>
      </w:r>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البته دراین‌بین آیات دیگری نیز وجود دارد که در راستای آیه موردبحث بیان‌شده است؛</w:t>
      </w:r>
    </w:p>
    <w:p w:rsidR="008D5110" w:rsidRPr="009A6B7D" w:rsidRDefault="008D5110" w:rsidP="008D5110">
      <w:pPr>
        <w:bidi/>
        <w:jc w:val="both"/>
        <w:rPr>
          <w:rFonts w:ascii="IRBadr" w:hAnsi="IRBadr" w:cs="IRBadr"/>
          <w:b/>
          <w:bCs/>
          <w:sz w:val="28"/>
          <w:szCs w:val="28"/>
          <w:lang w:bidi="fa-IR"/>
        </w:rPr>
      </w:pPr>
      <w:r w:rsidRPr="009A6B7D">
        <w:rPr>
          <w:rFonts w:ascii="IRBadr" w:hAnsi="IRBadr" w:cs="IRBadr"/>
          <w:b/>
          <w:bCs/>
          <w:sz w:val="28"/>
          <w:szCs w:val="28"/>
          <w:rtl/>
          <w:lang w:bidi="fa-IR"/>
        </w:rPr>
        <w:t>«لَکمْ دِینُکمْ وَ لِی دِین»</w:t>
      </w:r>
      <w:r w:rsidRPr="009A6B7D">
        <w:rPr>
          <w:rFonts w:ascii="IRBadr" w:hAnsi="IRBadr" w:cs="IRBadr"/>
          <w:b/>
          <w:bCs/>
          <w:sz w:val="28"/>
          <w:szCs w:val="28"/>
          <w:vertAlign w:val="superscript"/>
          <w:rtl/>
          <w:lang w:bidi="fa-IR"/>
        </w:rPr>
        <w:footnoteReference w:id="7"/>
      </w:r>
    </w:p>
    <w:p w:rsidR="008D5110" w:rsidRPr="009A6B7D" w:rsidRDefault="008D5110" w:rsidP="008D5110">
      <w:pPr>
        <w:pStyle w:val="Heading2"/>
        <w:rPr>
          <w:rFonts w:ascii="IRBadr" w:hAnsi="IRBadr" w:cs="IRBadr"/>
          <w:rtl/>
        </w:rPr>
      </w:pPr>
      <w:bookmarkStart w:id="5" w:name="_Toc427996030"/>
      <w:r w:rsidRPr="009A6B7D">
        <w:rPr>
          <w:rFonts w:ascii="IRBadr" w:hAnsi="IRBadr" w:cs="IRBadr"/>
          <w:rtl/>
        </w:rPr>
        <w:lastRenderedPageBreak/>
        <w:t>تنقیح بحث</w:t>
      </w:r>
      <w:bookmarkEnd w:id="5"/>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جوابی که از گذشته تاکنون به این سؤال داده‌شده و همانند ابن عباس نیز این نظریه را داشته‌اند، این بوده که در اینجا نسخ روی‌داده است. اگر کسی ادعای تخصیص نیز داشته باشد لازم است تخصیص حداکثری در اینجا رخ‌داده باشد.</w:t>
      </w:r>
    </w:p>
    <w:p w:rsidR="008D5110" w:rsidRPr="009A6B7D" w:rsidRDefault="008D5110" w:rsidP="008D5110">
      <w:pPr>
        <w:pStyle w:val="Heading2"/>
        <w:rPr>
          <w:rFonts w:ascii="IRBadr" w:hAnsi="IRBadr" w:cs="IRBadr"/>
          <w:rtl/>
        </w:rPr>
      </w:pPr>
      <w:bookmarkStart w:id="6" w:name="_Toc427996031"/>
      <w:r w:rsidRPr="009A6B7D">
        <w:rPr>
          <w:rFonts w:ascii="IRBadr" w:hAnsi="IRBadr" w:cs="IRBadr"/>
          <w:rtl/>
        </w:rPr>
        <w:t>اتخاذ مبنا</w:t>
      </w:r>
      <w:bookmarkEnd w:id="6"/>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در قبال حکم اول باید گفت که اصل بر عدم نسخ است مگر در مواردی که مستند به امر متقنی باشد. و احتمال دوم این است که تخصیص اکثر لازم می‌آید.</w:t>
      </w:r>
    </w:p>
    <w:p w:rsidR="008D5110" w:rsidRPr="009A6B7D" w:rsidRDefault="008D5110" w:rsidP="008D5110">
      <w:pPr>
        <w:pStyle w:val="Heading3"/>
        <w:rPr>
          <w:rFonts w:ascii="IRBadr" w:hAnsi="IRBadr" w:cs="IRBadr"/>
          <w:rtl/>
        </w:rPr>
      </w:pPr>
      <w:bookmarkStart w:id="7" w:name="_Toc427996032"/>
      <w:r w:rsidRPr="009A6B7D">
        <w:rPr>
          <w:rFonts w:ascii="IRBadr" w:hAnsi="IRBadr" w:cs="IRBadr"/>
          <w:rtl/>
        </w:rPr>
        <w:t>احتمال سوم</w:t>
      </w:r>
      <w:bookmarkEnd w:id="7"/>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احتمال سومی که در این باب می‌تواند داد این است که هرکدام از حکم‌های بیان‌شده در طول آیات گذشته اشاره به یک دوره از پیشرفت اسلامی دارد، یعنی در دوره‌ای که اسلام از قدرت بالاتری برخوردار نبوده یک گروه از احکام مربوط به خود برخوردار بوده و زمانی که به قدرت بیشتری دست‌یافت حکم دیگری پیدا کرد.</w:t>
      </w:r>
    </w:p>
    <w:p w:rsidR="008D5110" w:rsidRPr="009A6B7D" w:rsidRDefault="008D5110" w:rsidP="008D5110">
      <w:pPr>
        <w:pStyle w:val="Heading3"/>
        <w:rPr>
          <w:rFonts w:ascii="IRBadr" w:hAnsi="IRBadr" w:cs="IRBadr"/>
          <w:rtl/>
        </w:rPr>
      </w:pPr>
      <w:bookmarkStart w:id="8" w:name="_Toc427996033"/>
      <w:r w:rsidRPr="009A6B7D">
        <w:rPr>
          <w:rFonts w:ascii="IRBadr" w:hAnsi="IRBadr" w:cs="IRBadr"/>
          <w:rtl/>
        </w:rPr>
        <w:t>اتخاذ مبنا</w:t>
      </w:r>
      <w:bookmarkEnd w:id="8"/>
    </w:p>
    <w:p w:rsidR="008D5110" w:rsidRPr="009A6B7D" w:rsidRDefault="008D5110" w:rsidP="008D5110">
      <w:pPr>
        <w:bidi/>
        <w:jc w:val="both"/>
        <w:rPr>
          <w:rFonts w:ascii="IRBadr" w:hAnsi="IRBadr" w:cs="IRBadr"/>
          <w:sz w:val="28"/>
          <w:szCs w:val="28"/>
          <w:rtl/>
          <w:lang w:bidi="fa-IR"/>
        </w:rPr>
      </w:pPr>
      <w:r w:rsidRPr="009A6B7D">
        <w:rPr>
          <w:rFonts w:ascii="IRBadr" w:hAnsi="IRBadr" w:cs="IRBadr"/>
          <w:sz w:val="28"/>
          <w:szCs w:val="28"/>
          <w:rtl/>
          <w:lang w:bidi="fa-IR"/>
        </w:rPr>
        <w:t>این نیز احتمال قوی‌ای است که می‌تواند مطرح شود.</w:t>
      </w:r>
    </w:p>
    <w:p w:rsidR="008D5110" w:rsidRPr="009A6B7D" w:rsidRDefault="008D5110" w:rsidP="008D5110">
      <w:pPr>
        <w:bidi/>
        <w:jc w:val="both"/>
        <w:rPr>
          <w:rFonts w:ascii="IRBadr" w:hAnsi="IRBadr" w:cs="IRBadr"/>
          <w:sz w:val="28"/>
          <w:szCs w:val="28"/>
          <w:rtl/>
          <w:lang w:bidi="fa-IR"/>
        </w:rPr>
      </w:pPr>
    </w:p>
    <w:p w:rsidR="00152670" w:rsidRPr="009A6B7D" w:rsidRDefault="00152670" w:rsidP="00734D59">
      <w:pPr>
        <w:bidi/>
        <w:rPr>
          <w:rFonts w:ascii="IRBadr" w:hAnsi="IRBadr" w:cs="IRBadr"/>
          <w:rtl/>
          <w:lang w:bidi="fa-IR"/>
        </w:rPr>
      </w:pPr>
    </w:p>
    <w:sectPr w:rsidR="00152670" w:rsidRPr="009A6B7D"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CA8" w:rsidRDefault="00277CA8" w:rsidP="000D5800">
      <w:pPr>
        <w:spacing w:after="0" w:line="240" w:lineRule="auto"/>
      </w:pPr>
      <w:r>
        <w:separator/>
      </w:r>
    </w:p>
  </w:endnote>
  <w:endnote w:type="continuationSeparator" w:id="0">
    <w:p w:rsidR="00277CA8" w:rsidRDefault="00277CA8"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CA8" w:rsidRDefault="00277CA8" w:rsidP="00424302">
      <w:pPr>
        <w:bidi/>
        <w:spacing w:after="0" w:line="240" w:lineRule="auto"/>
      </w:pPr>
      <w:r>
        <w:separator/>
      </w:r>
    </w:p>
  </w:footnote>
  <w:footnote w:type="continuationSeparator" w:id="0">
    <w:p w:rsidR="00277CA8" w:rsidRDefault="00277CA8" w:rsidP="000D5800">
      <w:pPr>
        <w:spacing w:after="0" w:line="240" w:lineRule="auto"/>
      </w:pPr>
      <w:r>
        <w:continuationSeparator/>
      </w:r>
    </w:p>
  </w:footnote>
  <w:footnote w:id="1">
    <w:p w:rsidR="008D5110" w:rsidRPr="007810FA" w:rsidRDefault="008D5110" w:rsidP="007810FA">
      <w:pPr>
        <w:pStyle w:val="FootnoteText"/>
        <w:rPr>
          <w:rFonts w:ascii="IRBadr" w:hAnsi="IRBadr" w:cs="IRBadr"/>
          <w:b/>
          <w:bCs/>
          <w:rtl/>
        </w:rPr>
      </w:pPr>
      <w:r w:rsidRPr="007810FA">
        <w:rPr>
          <w:rStyle w:val="FootnoteReference"/>
          <w:rFonts w:ascii="IRBadr" w:hAnsi="IRBadr" w:cs="IRBadr"/>
          <w:b/>
          <w:bCs/>
        </w:rPr>
        <w:footnoteRef/>
      </w:r>
      <w:r w:rsidRPr="007810FA">
        <w:rPr>
          <w:rFonts w:ascii="IRBadr" w:hAnsi="IRBadr" w:cs="IRBadr"/>
          <w:b/>
          <w:bCs/>
        </w:rPr>
        <w:t xml:space="preserve"> </w:t>
      </w:r>
      <w:r w:rsidR="007810FA" w:rsidRPr="007810FA">
        <w:rPr>
          <w:rFonts w:ascii="IRBadr" w:hAnsi="IRBadr" w:cs="IRBadr"/>
          <w:b/>
          <w:bCs/>
          <w:rtl/>
        </w:rPr>
        <w:t xml:space="preserve">- </w:t>
      </w:r>
      <w:r w:rsidRPr="007810FA">
        <w:rPr>
          <w:rFonts w:ascii="IRBadr" w:hAnsi="IRBadr" w:cs="IRBadr"/>
          <w:b/>
          <w:bCs/>
          <w:rtl/>
        </w:rPr>
        <w:t>توبه</w:t>
      </w:r>
      <w:r w:rsidR="007810FA" w:rsidRPr="007810FA">
        <w:rPr>
          <w:rFonts w:ascii="IRBadr" w:hAnsi="IRBadr" w:cs="IRBadr"/>
          <w:b/>
          <w:bCs/>
          <w:rtl/>
        </w:rPr>
        <w:t>/29.</w:t>
      </w:r>
    </w:p>
  </w:footnote>
  <w:footnote w:id="2">
    <w:p w:rsidR="008D5110" w:rsidRPr="007810FA" w:rsidRDefault="008D5110" w:rsidP="007810FA">
      <w:pPr>
        <w:pStyle w:val="FootnoteText"/>
        <w:rPr>
          <w:rFonts w:ascii="IRBadr" w:hAnsi="IRBadr" w:cs="IRBadr"/>
          <w:b/>
          <w:bCs/>
          <w:rtl/>
        </w:rPr>
      </w:pPr>
      <w:r w:rsidRPr="007810FA">
        <w:rPr>
          <w:rStyle w:val="FootnoteReference"/>
          <w:rFonts w:ascii="IRBadr" w:hAnsi="IRBadr" w:cs="IRBadr"/>
          <w:b/>
          <w:bCs/>
        </w:rPr>
        <w:footnoteRef/>
      </w:r>
      <w:r w:rsidRPr="007810FA">
        <w:rPr>
          <w:rFonts w:ascii="IRBadr" w:hAnsi="IRBadr" w:cs="IRBadr"/>
          <w:b/>
          <w:bCs/>
        </w:rPr>
        <w:t xml:space="preserve"> </w:t>
      </w:r>
      <w:r w:rsidR="007810FA" w:rsidRPr="007810FA">
        <w:rPr>
          <w:rFonts w:ascii="IRBadr" w:hAnsi="IRBadr" w:cs="IRBadr"/>
          <w:b/>
          <w:bCs/>
          <w:rtl/>
        </w:rPr>
        <w:t xml:space="preserve">- </w:t>
      </w:r>
      <w:r w:rsidRPr="007810FA">
        <w:rPr>
          <w:rFonts w:ascii="IRBadr" w:hAnsi="IRBadr" w:cs="IRBadr"/>
          <w:b/>
          <w:bCs/>
          <w:rtl/>
        </w:rPr>
        <w:t>انعام</w:t>
      </w:r>
      <w:r w:rsidR="007810FA" w:rsidRPr="007810FA">
        <w:rPr>
          <w:rFonts w:ascii="IRBadr" w:hAnsi="IRBadr" w:cs="IRBadr"/>
          <w:b/>
          <w:bCs/>
          <w:rtl/>
        </w:rPr>
        <w:t>/106.</w:t>
      </w:r>
    </w:p>
  </w:footnote>
  <w:footnote w:id="3">
    <w:p w:rsidR="008D5110" w:rsidRPr="007810FA" w:rsidRDefault="008D5110" w:rsidP="008D5110">
      <w:pPr>
        <w:pStyle w:val="FootnoteText"/>
        <w:rPr>
          <w:rFonts w:ascii="IRBadr" w:hAnsi="IRBadr" w:cs="IRBadr"/>
          <w:b/>
          <w:bCs/>
          <w:rtl/>
        </w:rPr>
      </w:pPr>
      <w:r w:rsidRPr="007810FA">
        <w:rPr>
          <w:rStyle w:val="FootnoteReference"/>
          <w:rFonts w:ascii="IRBadr" w:hAnsi="IRBadr" w:cs="IRBadr"/>
          <w:b/>
          <w:bCs/>
        </w:rPr>
        <w:footnoteRef/>
      </w:r>
      <w:r w:rsidRPr="007810FA">
        <w:rPr>
          <w:rFonts w:ascii="IRBadr" w:hAnsi="IRBadr" w:cs="IRBadr"/>
          <w:b/>
          <w:bCs/>
        </w:rPr>
        <w:t xml:space="preserve"> </w:t>
      </w:r>
      <w:r w:rsidR="007810FA" w:rsidRPr="007810FA">
        <w:rPr>
          <w:rFonts w:ascii="IRBadr" w:hAnsi="IRBadr" w:cs="IRBadr"/>
          <w:b/>
          <w:bCs/>
          <w:rtl/>
        </w:rPr>
        <w:t xml:space="preserve">- </w:t>
      </w:r>
      <w:r w:rsidRPr="007810FA">
        <w:rPr>
          <w:rFonts w:ascii="IRBadr" w:hAnsi="IRBadr" w:cs="IRBadr"/>
          <w:b/>
          <w:bCs/>
          <w:rtl/>
        </w:rPr>
        <w:t>توبه/5</w:t>
      </w:r>
      <w:r w:rsidR="007810FA" w:rsidRPr="007810FA">
        <w:rPr>
          <w:rFonts w:ascii="IRBadr" w:hAnsi="IRBadr" w:cs="IRBadr"/>
          <w:b/>
          <w:bCs/>
          <w:rtl/>
        </w:rPr>
        <w:t>.</w:t>
      </w:r>
    </w:p>
  </w:footnote>
  <w:footnote w:id="4">
    <w:p w:rsidR="008D5110" w:rsidRPr="007810FA" w:rsidRDefault="008D5110" w:rsidP="007810FA">
      <w:pPr>
        <w:pStyle w:val="FootnoteText"/>
        <w:rPr>
          <w:rFonts w:ascii="IRBadr" w:hAnsi="IRBadr" w:cs="IRBadr"/>
          <w:b/>
          <w:bCs/>
          <w:rtl/>
        </w:rPr>
      </w:pPr>
      <w:r w:rsidRPr="007810FA">
        <w:rPr>
          <w:rStyle w:val="FootnoteReference"/>
          <w:rFonts w:ascii="IRBadr" w:hAnsi="IRBadr" w:cs="IRBadr"/>
          <w:b/>
          <w:bCs/>
        </w:rPr>
        <w:footnoteRef/>
      </w:r>
      <w:r w:rsidRPr="007810FA">
        <w:rPr>
          <w:rFonts w:ascii="IRBadr" w:hAnsi="IRBadr" w:cs="IRBadr"/>
          <w:b/>
          <w:bCs/>
        </w:rPr>
        <w:t xml:space="preserve"> </w:t>
      </w:r>
      <w:r w:rsidR="007810FA" w:rsidRPr="007810FA">
        <w:rPr>
          <w:rFonts w:ascii="IRBadr" w:hAnsi="IRBadr" w:cs="IRBadr"/>
          <w:b/>
          <w:bCs/>
          <w:rtl/>
        </w:rPr>
        <w:t xml:space="preserve">- </w:t>
      </w:r>
      <w:r w:rsidRPr="007810FA">
        <w:rPr>
          <w:rFonts w:ascii="IRBadr" w:hAnsi="IRBadr" w:cs="IRBadr"/>
          <w:b/>
          <w:bCs/>
          <w:rtl/>
        </w:rPr>
        <w:t>توبه</w:t>
      </w:r>
      <w:r w:rsidR="007810FA" w:rsidRPr="007810FA">
        <w:rPr>
          <w:rFonts w:ascii="IRBadr" w:hAnsi="IRBadr" w:cs="IRBadr"/>
          <w:b/>
          <w:bCs/>
          <w:rtl/>
        </w:rPr>
        <w:t>/29</w:t>
      </w:r>
    </w:p>
  </w:footnote>
  <w:footnote w:id="5">
    <w:p w:rsidR="008D5110" w:rsidRPr="007810FA" w:rsidRDefault="008D5110" w:rsidP="007810FA">
      <w:pPr>
        <w:pStyle w:val="FootnoteText"/>
        <w:rPr>
          <w:rFonts w:ascii="IRBadr" w:hAnsi="IRBadr" w:cs="IRBadr"/>
          <w:b/>
          <w:bCs/>
          <w:rtl/>
        </w:rPr>
      </w:pPr>
      <w:r w:rsidRPr="007810FA">
        <w:rPr>
          <w:rStyle w:val="FootnoteReference"/>
          <w:rFonts w:ascii="IRBadr" w:hAnsi="IRBadr" w:cs="IRBadr"/>
          <w:b/>
          <w:bCs/>
        </w:rPr>
        <w:footnoteRef/>
      </w:r>
      <w:r w:rsidRPr="007810FA">
        <w:rPr>
          <w:rFonts w:ascii="IRBadr" w:hAnsi="IRBadr" w:cs="IRBadr"/>
          <w:b/>
          <w:bCs/>
        </w:rPr>
        <w:t xml:space="preserve"> </w:t>
      </w:r>
      <w:r w:rsidR="007810FA" w:rsidRPr="007810FA">
        <w:rPr>
          <w:rFonts w:ascii="IRBadr" w:hAnsi="IRBadr" w:cs="IRBadr"/>
          <w:b/>
          <w:bCs/>
          <w:rtl/>
        </w:rPr>
        <w:t xml:space="preserve">- </w:t>
      </w:r>
      <w:r w:rsidRPr="007810FA">
        <w:rPr>
          <w:rFonts w:ascii="IRBadr" w:hAnsi="IRBadr" w:cs="IRBadr"/>
          <w:b/>
          <w:bCs/>
          <w:rtl/>
        </w:rPr>
        <w:t>توبه</w:t>
      </w:r>
      <w:r w:rsidR="007810FA" w:rsidRPr="007810FA">
        <w:rPr>
          <w:rFonts w:ascii="IRBadr" w:hAnsi="IRBadr" w:cs="IRBadr"/>
          <w:b/>
          <w:bCs/>
          <w:rtl/>
        </w:rPr>
        <w:t>/4.</w:t>
      </w:r>
    </w:p>
  </w:footnote>
  <w:footnote w:id="6">
    <w:p w:rsidR="008D5110" w:rsidRPr="007810FA" w:rsidRDefault="008D5110" w:rsidP="007810FA">
      <w:pPr>
        <w:pStyle w:val="FootnoteText"/>
        <w:rPr>
          <w:rFonts w:ascii="IRBadr" w:hAnsi="IRBadr" w:cs="IRBadr"/>
          <w:b/>
          <w:bCs/>
          <w:rtl/>
        </w:rPr>
      </w:pPr>
      <w:r w:rsidRPr="007810FA">
        <w:rPr>
          <w:rStyle w:val="FootnoteReference"/>
          <w:rFonts w:ascii="IRBadr" w:hAnsi="IRBadr" w:cs="IRBadr"/>
          <w:b/>
          <w:bCs/>
        </w:rPr>
        <w:footnoteRef/>
      </w:r>
      <w:r w:rsidRPr="007810FA">
        <w:rPr>
          <w:rFonts w:ascii="IRBadr" w:hAnsi="IRBadr" w:cs="IRBadr"/>
          <w:b/>
          <w:bCs/>
        </w:rPr>
        <w:t xml:space="preserve"> </w:t>
      </w:r>
      <w:r w:rsidR="007810FA" w:rsidRPr="007810FA">
        <w:rPr>
          <w:rFonts w:ascii="IRBadr" w:hAnsi="IRBadr" w:cs="IRBadr"/>
          <w:b/>
          <w:bCs/>
          <w:rtl/>
        </w:rPr>
        <w:t xml:space="preserve">- </w:t>
      </w:r>
      <w:r w:rsidRPr="007810FA">
        <w:rPr>
          <w:rFonts w:ascii="IRBadr" w:hAnsi="IRBadr" w:cs="IRBadr"/>
          <w:b/>
          <w:bCs/>
          <w:rtl/>
        </w:rPr>
        <w:t>توبه</w:t>
      </w:r>
      <w:r w:rsidR="007810FA" w:rsidRPr="007810FA">
        <w:rPr>
          <w:rFonts w:ascii="IRBadr" w:hAnsi="IRBadr" w:cs="IRBadr"/>
          <w:b/>
          <w:bCs/>
          <w:rtl/>
        </w:rPr>
        <w:t>/6.</w:t>
      </w:r>
    </w:p>
  </w:footnote>
  <w:footnote w:id="7">
    <w:p w:rsidR="008D5110" w:rsidRPr="007810FA" w:rsidRDefault="008D5110" w:rsidP="008D5110">
      <w:pPr>
        <w:pStyle w:val="FootnoteText"/>
        <w:rPr>
          <w:rFonts w:ascii="IRBadr" w:hAnsi="IRBadr" w:cs="IRBadr"/>
          <w:b/>
          <w:bCs/>
          <w:rtl/>
        </w:rPr>
      </w:pPr>
      <w:r w:rsidRPr="007810FA">
        <w:rPr>
          <w:rStyle w:val="FootnoteReference"/>
          <w:rFonts w:ascii="IRBadr" w:hAnsi="IRBadr" w:cs="IRBadr"/>
          <w:b/>
          <w:bCs/>
        </w:rPr>
        <w:footnoteRef/>
      </w:r>
      <w:r w:rsidRPr="007810FA">
        <w:rPr>
          <w:rFonts w:ascii="IRBadr" w:hAnsi="IRBadr" w:cs="IRBadr"/>
          <w:b/>
          <w:bCs/>
        </w:rPr>
        <w:t xml:space="preserve"> </w:t>
      </w:r>
      <w:r w:rsidR="007810FA" w:rsidRPr="007810FA">
        <w:rPr>
          <w:rFonts w:ascii="IRBadr" w:hAnsi="IRBadr" w:cs="IRBadr"/>
          <w:b/>
          <w:bCs/>
          <w:rtl/>
        </w:rPr>
        <w:t xml:space="preserve">- </w:t>
      </w:r>
      <w:r w:rsidRPr="007810FA">
        <w:rPr>
          <w:rFonts w:ascii="IRBadr" w:hAnsi="IRBadr" w:cs="IRBadr"/>
          <w:b/>
          <w:bCs/>
          <w:rtl/>
        </w:rPr>
        <w:t>کافرون/6</w:t>
      </w:r>
      <w:r w:rsidR="007810FA" w:rsidRPr="007810FA">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D5110">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0AB8C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9" w:name="OLE_LINK1"/>
    <w:bookmarkStart w:id="10"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9"/>
    <w:bookmarkEnd w:id="10"/>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D5110">
      <w:rPr>
        <w:rFonts w:ascii="IranNastaliq" w:hAnsi="IranNastaliq" w:cs="IranNastaliq" w:hint="cs"/>
        <w:sz w:val="40"/>
        <w:szCs w:val="40"/>
        <w:rtl/>
        <w:lang w:bidi="fa-IR"/>
      </w:rPr>
      <w:t>942</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77CA8"/>
    <w:rsid w:val="002914BD"/>
    <w:rsid w:val="00297263"/>
    <w:rsid w:val="002C56FD"/>
    <w:rsid w:val="002D49E4"/>
    <w:rsid w:val="002E450B"/>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24302"/>
    <w:rsid w:val="004426D1"/>
    <w:rsid w:val="0044591E"/>
    <w:rsid w:val="004651D2"/>
    <w:rsid w:val="00465D26"/>
    <w:rsid w:val="004679F8"/>
    <w:rsid w:val="00494DC0"/>
    <w:rsid w:val="00496073"/>
    <w:rsid w:val="004B337F"/>
    <w:rsid w:val="004C1D5E"/>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B5146"/>
    <w:rsid w:val="006D3A87"/>
    <w:rsid w:val="006F01B4"/>
    <w:rsid w:val="00734D59"/>
    <w:rsid w:val="0073609B"/>
    <w:rsid w:val="00752745"/>
    <w:rsid w:val="00766458"/>
    <w:rsid w:val="0076665E"/>
    <w:rsid w:val="007749BC"/>
    <w:rsid w:val="00780C88"/>
    <w:rsid w:val="00780E25"/>
    <w:rsid w:val="007810FA"/>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1B45"/>
    <w:rsid w:val="008965D2"/>
    <w:rsid w:val="008A236D"/>
    <w:rsid w:val="008B565A"/>
    <w:rsid w:val="008C3414"/>
    <w:rsid w:val="008D36D5"/>
    <w:rsid w:val="008D5110"/>
    <w:rsid w:val="008E3903"/>
    <w:rsid w:val="008F197C"/>
    <w:rsid w:val="008F63E3"/>
    <w:rsid w:val="00913C3B"/>
    <w:rsid w:val="00915509"/>
    <w:rsid w:val="00927388"/>
    <w:rsid w:val="009274FE"/>
    <w:rsid w:val="00931FC7"/>
    <w:rsid w:val="00935E91"/>
    <w:rsid w:val="009401AC"/>
    <w:rsid w:val="009515C3"/>
    <w:rsid w:val="009541DD"/>
    <w:rsid w:val="009613AC"/>
    <w:rsid w:val="00980643"/>
    <w:rsid w:val="009A6B7D"/>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4243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4243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D1C1E-455C-4A5B-814A-F3D492934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103</TotalTime>
  <Pages>4</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55</cp:revision>
  <dcterms:created xsi:type="dcterms:W3CDTF">2014-12-20T10:23:00Z</dcterms:created>
  <dcterms:modified xsi:type="dcterms:W3CDTF">2015-08-22T07:49:00Z</dcterms:modified>
</cp:coreProperties>
</file>